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226" w:afterAutospacing="0"/>
        <w:ind w:left="0" w:right="0"/>
        <w:jc w:val="center"/>
        <w:rPr>
          <w:rFonts w:ascii="微软雅黑" w:hAnsi="微软雅黑" w:eastAsia="微软雅黑" w:cs="微软雅黑"/>
          <w:b w:val="0"/>
          <w:sz w:val="39"/>
          <w:szCs w:val="39"/>
        </w:rPr>
      </w:pPr>
      <w:r>
        <w:rPr>
          <w:rFonts w:hint="eastAsia" w:ascii="微软雅黑" w:hAnsi="微软雅黑" w:eastAsia="微软雅黑" w:cs="微软雅黑"/>
          <w:b w:val="0"/>
          <w:color w:val="333333"/>
          <w:sz w:val="39"/>
          <w:szCs w:val="39"/>
          <w:shd w:val="clear" w:fill="FFFFFF"/>
        </w:rPr>
        <w:t>浙江师范大学外国语学院“弘道•学生成才奖励”实施办法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宋体" w:hAnsi="宋体" w:eastAsia="宋体" w:cs="宋体"/>
          <w:color w:val="333333"/>
          <w:kern w:val="0"/>
          <w:sz w:val="28"/>
          <w:szCs w:val="28"/>
          <w:bdr w:val="none" w:color="auto" w:sz="0" w:space="0"/>
          <w:shd w:val="clear" w:fill="FFFFFF"/>
          <w:lang w:val="en-US" w:eastAsia="zh-CN" w:bidi="ar"/>
        </w:rPr>
        <w:t>为促进学生的成长成才，进一步提高人才培养质量，充分调动学生努力学习和教师指导学生的积极性，由我院88届校友张明高先生捐赠设立“弘道·学生成才奖励”专项基金，用于奖励我院在学生学术科研、学科竞赛、考研、考博、考级等方面有突出表现的学生和指导老师，具体实施办法如下：</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540"/>
        </w:tabs>
        <w:adjustRightInd w:val="0"/>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第一条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奖励范围：外国语学院全日制在校本科生及研究生、全体教职工。</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540"/>
        </w:tabs>
        <w:adjustRightInd w:val="0"/>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第二条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评奖程序：本人申报——学生工作领导小组审核——学院党政联席会议审定（公布和表彰）。</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360"/>
        </w:tabs>
        <w:adjustRightInd w:val="0"/>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第三条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申报评选时间：每年12月份，当年不申报者视为放弃。</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360"/>
        </w:tabs>
        <w:adjustRightInd w:val="0"/>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第四条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奖励条件、金额：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ascii="黑体" w:hAnsi="宋体" w:eastAsia="黑体" w:cs="宋体"/>
          <w:color w:val="333333"/>
          <w:kern w:val="0"/>
          <w:sz w:val="28"/>
          <w:szCs w:val="28"/>
          <w:bdr w:val="none" w:color="auto" w:sz="0" w:space="0"/>
          <w:shd w:val="clear" w:fill="FFFFFF"/>
          <w:lang w:val="en-US" w:eastAsia="zh-CN" w:bidi="ar"/>
        </w:rPr>
        <w:t>一、考试类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宋体" w:hAnsi="宋体" w:eastAsia="宋体" w:cs="宋体"/>
          <w:color w:val="333333"/>
          <w:kern w:val="0"/>
          <w:sz w:val="28"/>
          <w:szCs w:val="28"/>
          <w:bdr w:val="none" w:color="auto" w:sz="0" w:space="0"/>
          <w:shd w:val="clear" w:fill="FFFFFF"/>
          <w:lang w:val="en-US" w:eastAsia="zh-CN" w:bidi="ar"/>
        </w:rPr>
        <w:t>考试类奖学金用于鼓励我院在重要等级考试和升学考试中取得优异成绩的学生。具体奖励标准如下：</w:t>
      </w:r>
    </w:p>
    <w:tbl>
      <w:tblP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548"/>
        <w:gridCol w:w="1440"/>
        <w:gridCol w:w="3807"/>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9060"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学生奖励标准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等级考试</w:t>
            </w:r>
          </w:p>
        </w:tc>
        <w:tc>
          <w:tcPr>
            <w:tcW w:w="14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考试类型</w:t>
            </w: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奖励条件</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4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日语一级</w:t>
            </w: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基本分合格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总分&gt;=148分</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4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TEM-8、日语专八</w:t>
            </w: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英语&gt;=80分，日语&gt;=120分</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4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TEM-4、日语专四</w:t>
            </w: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英语&gt;=90分，日语&gt;=99分</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trPr>
        <w:tc>
          <w:tcPr>
            <w:tcW w:w="1548"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升学奖励</w:t>
            </w:r>
          </w:p>
        </w:tc>
        <w:tc>
          <w:tcPr>
            <w:tcW w:w="14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研究生</w:t>
            </w: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“985”高校、“211”高校、国外知名院校</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753" w:hRule="atLeast"/>
        </w:trPr>
        <w:tc>
          <w:tcPr>
            <w:tcW w:w="154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4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其他院校</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300元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4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博士生</w:t>
            </w:r>
          </w:p>
        </w:tc>
        <w:tc>
          <w:tcPr>
            <w:tcW w:w="3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无具体要求</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1000元</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黑体" w:hAnsi="宋体" w:eastAsia="黑体" w:cs="宋体"/>
          <w:color w:val="333333"/>
          <w:kern w:val="0"/>
          <w:sz w:val="28"/>
          <w:szCs w:val="28"/>
          <w:bdr w:val="none" w:color="auto" w:sz="0" w:space="0"/>
          <w:shd w:val="clear" w:fill="FFFFFF"/>
          <w:lang w:val="en-US" w:eastAsia="zh-CN" w:bidi="ar"/>
        </w:rPr>
        <w:t>二、科研类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Style w:val="5"/>
          <w:rFonts w:hint="eastAsia" w:ascii="宋体" w:hAnsi="宋体" w:eastAsia="宋体" w:cs="宋体"/>
          <w:color w:val="333333"/>
          <w:kern w:val="0"/>
          <w:sz w:val="28"/>
          <w:szCs w:val="28"/>
          <w:bdr w:val="none" w:color="auto" w:sz="0" w:space="0"/>
          <w:shd w:val="clear" w:fill="FFFFFF"/>
          <w:lang w:val="en-US" w:eastAsia="zh-CN" w:bidi="ar"/>
        </w:rPr>
        <w:t>（一）学生奖励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宋体" w:hAnsi="宋体" w:eastAsia="宋体" w:cs="宋体"/>
          <w:color w:val="333333"/>
          <w:kern w:val="0"/>
          <w:sz w:val="28"/>
          <w:szCs w:val="28"/>
          <w:bdr w:val="none" w:color="auto" w:sz="0" w:space="0"/>
          <w:shd w:val="clear" w:fill="FFFFFF"/>
          <w:lang w:val="en-US" w:eastAsia="zh-CN" w:bidi="ar"/>
        </w:rPr>
        <w:t>科研类奖学金用于奖励我院获优秀科研成果的学生（本科生、研究生）。其中包括：以项目负责人身份获得院级及以上科研项目、以第二作者（导师为第一作者），第一作者或独立作者发表学术论文。注：署名必须为浙江师范大学。具体奖励标准如下：</w:t>
      </w:r>
    </w:p>
    <w:tbl>
      <w:tblP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194"/>
        <w:gridCol w:w="1071"/>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9060"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学生奖励标准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奖励类别</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项目级别</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奖励条件</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gridSpan w:val="2"/>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科研项目</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省级及以上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立项并结题</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1500元/项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2265"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厅局级以上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立项并结题</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校级立项无资助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立项并结题</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94"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科研成果</w:t>
            </w:r>
          </w:p>
        </w:tc>
        <w:tc>
          <w:tcPr>
            <w:tcW w:w="1071"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本科生</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权威刊物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8000元/篇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071"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一级刊物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5000元/篇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071"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二级刊物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1500元/篇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071"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一般刊物（含正式出版的会议论文集，不含内刊、半月刊、旬刊、增刊、专刊）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300元/篇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071"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研究生</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权威刊物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5000元/篇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071"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一级刊物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3000元/篇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071"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二级刊物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800元/篇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3336" w:type="dxa"/>
            <w:gridSpan w:val="2"/>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专著、译著、教材</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主编</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2000元/部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3336"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署名</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3336" w:type="dxa"/>
            <w:gridSpan w:val="2"/>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参编</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其他成果</w:t>
            </w:r>
          </w:p>
        </w:tc>
        <w:tc>
          <w:tcPr>
            <w:tcW w:w="333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国家级报刊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宣传学院的新闻稿</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1500元/篇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9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333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省级报刊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宣传学院的新闻稿</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800元/篇</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Style w:val="5"/>
          <w:rFonts w:hint="eastAsia" w:ascii="宋体" w:hAnsi="宋体" w:eastAsia="宋体" w:cs="宋体"/>
          <w:color w:val="333333"/>
          <w:kern w:val="0"/>
          <w:sz w:val="28"/>
          <w:szCs w:val="28"/>
          <w:bdr w:val="none" w:color="auto" w:sz="0" w:space="0"/>
          <w:shd w:val="clear" w:fill="FFFFFF"/>
          <w:lang w:val="en-US" w:eastAsia="zh-CN" w:bidi="ar"/>
        </w:rPr>
        <w:t>（二）教师奖励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280" w:firstLineChars="100"/>
        <w:jc w:val="left"/>
      </w:pPr>
      <w:r>
        <w:rPr>
          <w:rFonts w:hint="eastAsia" w:ascii="宋体" w:hAnsi="宋体" w:eastAsia="宋体" w:cs="宋体"/>
          <w:color w:val="333333"/>
          <w:kern w:val="0"/>
          <w:sz w:val="28"/>
          <w:szCs w:val="28"/>
          <w:bdr w:val="none" w:color="auto" w:sz="0" w:space="0"/>
          <w:shd w:val="clear" w:fill="FFFFFF"/>
          <w:lang w:val="en-US" w:eastAsia="zh-CN" w:bidi="ar"/>
        </w:rPr>
        <w:t>用于奖励指导学生取得科研成果的教师，具体标准如下：</w:t>
      </w:r>
    </w:p>
    <w:tbl>
      <w:tblP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9060"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教师奖励标准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奖励类别</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项目级别</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奖励条件</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c>
          <w:tcPr>
            <w:tcW w:w="226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学术论文指导</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权威刊物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5000元/篇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一级刊物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二级刊物</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一般刊物（含正式出版的会议论文集，不含内刊、半月刊、旬刊、增刊、专刊）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正式发表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（限指导本科生）</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300元/篇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科研项目</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kern w:val="0"/>
                <w:sz w:val="28"/>
                <w:szCs w:val="28"/>
                <w:bdr w:val="none" w:color="auto" w:sz="0" w:space="0"/>
                <w:lang w:val="en-US" w:eastAsia="zh-CN" w:bidi="ar"/>
              </w:rPr>
              <w:t>省级及以上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kern w:val="0"/>
                <w:sz w:val="28"/>
                <w:szCs w:val="28"/>
                <w:bdr w:val="none" w:color="auto" w:sz="0" w:space="0"/>
                <w:lang w:val="en-US" w:eastAsia="zh-CN" w:bidi="ar"/>
              </w:rPr>
              <w:t>立项并结题</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kern w:val="0"/>
                <w:sz w:val="28"/>
                <w:szCs w:val="28"/>
                <w:bdr w:val="none" w:color="auto" w:sz="0" w:space="0"/>
                <w:lang w:val="en-US" w:eastAsia="zh-CN" w:bidi="ar"/>
              </w:rPr>
              <w:t>1000元/项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kern w:val="0"/>
                <w:sz w:val="28"/>
                <w:szCs w:val="28"/>
                <w:bdr w:val="none" w:color="auto" w:sz="0" w:space="0"/>
                <w:lang w:val="en-US" w:eastAsia="zh-CN" w:bidi="ar"/>
              </w:rPr>
              <w:t>厅局级以上</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kern w:val="0"/>
                <w:sz w:val="28"/>
                <w:szCs w:val="28"/>
                <w:bdr w:val="none" w:color="auto" w:sz="0" w:space="0"/>
                <w:lang w:val="en-US" w:eastAsia="zh-CN" w:bidi="ar"/>
              </w:rPr>
              <w:t>立项并结题</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kern w:val="0"/>
                <w:sz w:val="28"/>
                <w:szCs w:val="28"/>
                <w:bdr w:val="none" w:color="auto" w:sz="0" w:space="0"/>
                <w:lang w:val="en-US" w:eastAsia="zh-CN" w:bidi="ar"/>
              </w:rPr>
              <w:t>800元/项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校级</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立项并结题</w:t>
            </w:r>
          </w:p>
        </w:tc>
        <w:tc>
          <w:tcPr>
            <w:tcW w:w="22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300元/项</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Style w:val="5"/>
          <w:rFonts w:hint="eastAsia" w:ascii="宋体" w:hAnsi="宋体" w:eastAsia="宋体" w:cs="宋体"/>
          <w:color w:val="333333"/>
          <w:kern w:val="0"/>
          <w:sz w:val="28"/>
          <w:szCs w:val="28"/>
          <w:bdr w:val="none" w:color="auto" w:sz="0" w:space="0"/>
          <w:shd w:val="clear" w:fill="FFFFFF"/>
          <w:lang w:val="en-US" w:eastAsia="zh-CN" w:bidi="ar"/>
        </w:rPr>
        <w:t>注：若教师为论文第一作者，则奖励减半。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Style w:val="5"/>
          <w:rFonts w:hint="eastAsia" w:ascii="宋体" w:hAnsi="宋体" w:eastAsia="宋体" w:cs="宋体"/>
          <w:color w:val="333333"/>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黑体" w:hAnsi="宋体" w:eastAsia="黑体" w:cs="宋体"/>
          <w:color w:val="333333"/>
          <w:kern w:val="0"/>
          <w:sz w:val="28"/>
          <w:szCs w:val="28"/>
          <w:bdr w:val="none" w:color="auto" w:sz="0" w:space="0"/>
          <w:shd w:val="clear" w:fill="FFFFFF"/>
          <w:lang w:val="en-US" w:eastAsia="zh-CN" w:bidi="ar"/>
        </w:rPr>
        <w:t>三、学科竞赛类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Style w:val="5"/>
          <w:rFonts w:hint="eastAsia" w:ascii="宋体" w:hAnsi="宋体" w:eastAsia="宋体" w:cs="宋体"/>
          <w:color w:val="333333"/>
          <w:kern w:val="0"/>
          <w:sz w:val="28"/>
          <w:szCs w:val="28"/>
          <w:bdr w:val="none" w:color="auto" w:sz="0" w:space="0"/>
          <w:shd w:val="clear" w:fill="FFFFFF"/>
          <w:lang w:val="en-US" w:eastAsia="zh-CN" w:bidi="ar"/>
        </w:rPr>
        <w:t>（一）奖励标准：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宋体" w:hAnsi="宋体" w:eastAsia="宋体" w:cs="宋体"/>
          <w:color w:val="333333"/>
          <w:kern w:val="0"/>
          <w:sz w:val="28"/>
          <w:szCs w:val="28"/>
          <w:bdr w:val="none" w:color="auto" w:sz="0" w:space="0"/>
          <w:shd w:val="clear" w:fill="FFFFFF"/>
          <w:lang w:val="en-US" w:eastAsia="zh-CN" w:bidi="ar"/>
        </w:rPr>
        <w:t>参加学校教务处认定的学科竞赛，获得省级及以上奖励者，除学校给予奖励外，学院予以配套奖励；未被教务处认定的学科竞赛（划线部分），按照以下标准奖励：</w:t>
      </w:r>
    </w:p>
    <w:tbl>
      <w:tblPr>
        <w:tblW w:w="9288"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
      <w:tblGrid>
        <w:gridCol w:w="2177"/>
        <w:gridCol w:w="2614"/>
        <w:gridCol w:w="1618"/>
        <w:gridCol w:w="1441"/>
        <w:gridCol w:w="14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trHeight w:val="306" w:hRule="atLeast"/>
          <w:jc w:val="center"/>
        </w:trPr>
        <w:tc>
          <w:tcPr>
            <w:tcW w:w="2177"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竞赛级别</w:t>
            </w:r>
          </w:p>
        </w:tc>
        <w:tc>
          <w:tcPr>
            <w:tcW w:w="2614"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竞赛名称</w:t>
            </w:r>
          </w:p>
        </w:tc>
        <w:tc>
          <w:tcPr>
            <w:tcW w:w="1618"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获奖级别</w:t>
            </w:r>
          </w:p>
        </w:tc>
        <w:tc>
          <w:tcPr>
            <w:tcW w:w="2879"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奖励标准（元/项）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trHeight w:val="318" w:hRule="atLeast"/>
          <w:jc w:val="center"/>
        </w:trPr>
        <w:tc>
          <w:tcPr>
            <w:tcW w:w="217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学生</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指导教师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jc w:val="center"/>
        </w:trPr>
        <w:tc>
          <w:tcPr>
            <w:tcW w:w="2177" w:type="dxa"/>
            <w:vMerge w:val="restart"/>
            <w:tcBorders>
              <w:top w:val="single" w:color="auto" w:sz="4" w:space="0"/>
              <w:left w:val="single" w:color="auto" w:sz="4" w:space="0"/>
              <w:bottom w:val="single" w:color="auto" w:sz="6"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国家级</w:t>
            </w:r>
          </w:p>
        </w:tc>
        <w:tc>
          <w:tcPr>
            <w:tcW w:w="2614" w:type="dxa"/>
            <w:vMerge w:val="restart"/>
            <w:tcBorders>
              <w:top w:val="single" w:color="auto" w:sz="4" w:space="0"/>
              <w:left w:val="single" w:color="auto" w:sz="4" w:space="0"/>
              <w:bottom w:val="single" w:color="auto" w:sz="6"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“挑战杯”大学生课外学术科技作品竞赛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“挑战杯”大学生创业计划竞赛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全国大学生职业生涯规划大赛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“师范生”教师职业技能竞赛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全国高校全日制教育硕士学科教学(英语)专业教学技能大赛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“外研社”杯全国英语辩论赛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Times New Roman" w:hAnsi="Times New Roman" w:eastAsia="宋体" w:cs="宋体"/>
                <w:color w:val="333333"/>
                <w:kern w:val="0"/>
                <w:sz w:val="24"/>
                <w:szCs w:val="21"/>
                <w:bdr w:val="none" w:color="auto" w:sz="0" w:space="0"/>
                <w:lang w:val="en-US" w:eastAsia="zh-CN" w:bidi="ar"/>
              </w:rPr>
              <w:t>“</w:t>
            </w:r>
            <w:r>
              <w:rPr>
                <w:rFonts w:hint="eastAsia" w:ascii="宋体" w:hAnsi="宋体" w:eastAsia="宋体" w:cs="宋体"/>
                <w:color w:val="333333"/>
                <w:kern w:val="0"/>
                <w:sz w:val="24"/>
                <w:szCs w:val="21"/>
                <w:bdr w:val="none" w:color="auto" w:sz="0" w:space="0"/>
                <w:lang w:val="en-US" w:eastAsia="zh-CN" w:bidi="ar"/>
              </w:rPr>
              <w:t>外研社杯</w:t>
            </w:r>
            <w:r>
              <w:rPr>
                <w:rFonts w:hint="eastAsia" w:ascii="Times New Roman" w:hAnsi="Times New Roman" w:eastAsia="宋体" w:cs="宋体"/>
                <w:color w:val="333333"/>
                <w:kern w:val="0"/>
                <w:sz w:val="24"/>
                <w:szCs w:val="21"/>
                <w:bdr w:val="none" w:color="auto" w:sz="0" w:space="0"/>
                <w:lang w:val="en-US" w:eastAsia="zh-CN" w:bidi="ar"/>
              </w:rPr>
              <w:t>”</w:t>
            </w:r>
            <w:r>
              <w:rPr>
                <w:rFonts w:hint="eastAsia" w:ascii="宋体" w:hAnsi="宋体" w:eastAsia="宋体" w:cs="宋体"/>
                <w:color w:val="333333"/>
                <w:kern w:val="0"/>
                <w:sz w:val="24"/>
                <w:szCs w:val="21"/>
                <w:bdr w:val="none" w:color="auto" w:sz="0" w:space="0"/>
                <w:lang w:val="en-US" w:eastAsia="zh-CN" w:bidi="ar"/>
              </w:rPr>
              <w:t>全国英语写作大赛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“外研社”杯全国英语演讲赛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u w:val="single"/>
                <w:bdr w:val="none" w:color="auto" w:sz="0" w:space="0"/>
                <w:lang w:val="en-US" w:eastAsia="zh-CN" w:bidi="ar"/>
              </w:rPr>
              <w:t> “21世纪杯”全国英语演讲比赛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u w:val="single"/>
                <w:bdr w:val="none" w:color="auto" w:sz="0" w:space="0"/>
                <w:lang w:val="en-US" w:eastAsia="zh-CN" w:bidi="ar"/>
              </w:rPr>
              <w:t>韩素音青年翻译大赛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u w:val="single"/>
                <w:bdr w:val="none" w:color="auto" w:sz="0" w:space="0"/>
                <w:lang w:val="en-US" w:eastAsia="zh-CN" w:bidi="ar"/>
              </w:rPr>
              <w:t>中华全国日语演讲大赛</w:t>
            </w: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一等奖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5000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2177" w:type="dxa"/>
            <w:vMerge w:val="continue"/>
            <w:tcBorders>
              <w:top w:val="single" w:color="auto" w:sz="4" w:space="0"/>
              <w:left w:val="single" w:color="auto" w:sz="4" w:space="0"/>
              <w:bottom w:val="single" w:color="auto" w:sz="6"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4" w:space="0"/>
              <w:left w:val="single" w:color="auto" w:sz="4" w:space="0"/>
              <w:bottom w:val="single" w:color="auto" w:sz="6"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二等奖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jc w:val="center"/>
        </w:trPr>
        <w:tc>
          <w:tcPr>
            <w:tcW w:w="2177" w:type="dxa"/>
            <w:vMerge w:val="continue"/>
            <w:tcBorders>
              <w:top w:val="single" w:color="auto" w:sz="4" w:space="0"/>
              <w:left w:val="single" w:color="auto" w:sz="4" w:space="0"/>
              <w:bottom w:val="single" w:color="auto" w:sz="6"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4" w:space="0"/>
              <w:left w:val="single" w:color="auto" w:sz="4" w:space="0"/>
              <w:bottom w:val="single" w:color="auto" w:sz="6"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三等奖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jc w:val="center"/>
        </w:trPr>
        <w:tc>
          <w:tcPr>
            <w:tcW w:w="2177" w:type="dxa"/>
            <w:vMerge w:val="continue"/>
            <w:tcBorders>
              <w:top w:val="single" w:color="auto" w:sz="4" w:space="0"/>
              <w:left w:val="single" w:color="auto" w:sz="4" w:space="0"/>
              <w:bottom w:val="single" w:color="auto" w:sz="6"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4" w:space="0"/>
              <w:left w:val="single" w:color="auto" w:sz="4" w:space="0"/>
              <w:bottom w:val="single" w:color="auto" w:sz="6"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优秀奖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400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jc w:val="center"/>
        </w:trPr>
        <w:tc>
          <w:tcPr>
            <w:tcW w:w="2177" w:type="dxa"/>
            <w:vMerge w:val="restart"/>
            <w:tcBorders>
              <w:top w:val="single" w:color="auto" w:sz="6"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Style w:val="5"/>
                <w:rFonts w:hint="eastAsia" w:ascii="宋体" w:hAnsi="宋体" w:eastAsia="宋体" w:cs="宋体"/>
                <w:color w:val="333333"/>
                <w:kern w:val="0"/>
                <w:sz w:val="28"/>
                <w:szCs w:val="28"/>
                <w:bdr w:val="none" w:color="auto" w:sz="0" w:space="0"/>
                <w:lang w:val="en-US" w:eastAsia="zh-CN" w:bidi="ar"/>
              </w:rPr>
              <w:t>省级竞赛</w:t>
            </w:r>
          </w:p>
        </w:tc>
        <w:tc>
          <w:tcPr>
            <w:tcW w:w="2614" w:type="dxa"/>
            <w:vMerge w:val="restart"/>
            <w:tcBorders>
              <w:top w:val="single" w:color="auto" w:sz="6"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“挑战杯”大学生课外学术科技作品竞赛（浙江省）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“挑战杯”大学生创业计划竞赛（浙江省）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全国大学生职业生涯规划大赛（浙江省）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“师范生”教师职业技能竞赛（浙江省）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全国高校全日制教育硕士学科教学(英语)专业教学技能大赛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“外研社”杯全国英语辩论赛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Times New Roman" w:hAnsi="Times New Roman" w:eastAsia="宋体" w:cs="宋体"/>
                <w:color w:val="333333"/>
                <w:kern w:val="0"/>
                <w:sz w:val="24"/>
                <w:szCs w:val="21"/>
                <w:bdr w:val="none" w:color="auto" w:sz="0" w:space="0"/>
                <w:lang w:val="en-US" w:eastAsia="zh-CN" w:bidi="ar"/>
              </w:rPr>
              <w:t>“</w:t>
            </w:r>
            <w:r>
              <w:rPr>
                <w:rFonts w:hint="eastAsia" w:ascii="宋体" w:hAnsi="宋体" w:eastAsia="宋体" w:cs="宋体"/>
                <w:color w:val="333333"/>
                <w:kern w:val="0"/>
                <w:sz w:val="24"/>
                <w:szCs w:val="21"/>
                <w:bdr w:val="none" w:color="auto" w:sz="0" w:space="0"/>
                <w:lang w:val="en-US" w:eastAsia="zh-CN" w:bidi="ar"/>
              </w:rPr>
              <w:t>外研社杯</w:t>
            </w:r>
            <w:r>
              <w:rPr>
                <w:rFonts w:hint="eastAsia" w:ascii="Times New Roman" w:hAnsi="Times New Roman" w:eastAsia="宋体" w:cs="宋体"/>
                <w:color w:val="333333"/>
                <w:kern w:val="0"/>
                <w:sz w:val="24"/>
                <w:szCs w:val="21"/>
                <w:bdr w:val="none" w:color="auto" w:sz="0" w:space="0"/>
                <w:lang w:val="en-US" w:eastAsia="zh-CN" w:bidi="ar"/>
              </w:rPr>
              <w:t>”</w:t>
            </w:r>
            <w:r>
              <w:rPr>
                <w:rFonts w:hint="eastAsia" w:ascii="宋体" w:hAnsi="宋体" w:eastAsia="宋体" w:cs="宋体"/>
                <w:color w:val="333333"/>
                <w:kern w:val="0"/>
                <w:sz w:val="24"/>
                <w:szCs w:val="21"/>
                <w:bdr w:val="none" w:color="auto" w:sz="0" w:space="0"/>
                <w:lang w:val="en-US" w:eastAsia="zh-CN" w:bidi="ar"/>
              </w:rPr>
              <w:t>全国英语写作大赛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“外研社”杯全国英语演讲赛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全国大学生英语竞赛(浙江)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 “21世纪杯”英语演讲赛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韩素音青年翻译大赛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4"/>
                <w:szCs w:val="21"/>
                <w:bdr w:val="none" w:color="auto" w:sz="0" w:space="0"/>
                <w:lang w:val="en-US" w:eastAsia="zh-CN" w:bidi="ar"/>
              </w:rPr>
              <w:t>中华全国日语演讲大赛（华东区）</w:t>
            </w: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一等奖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2177" w:type="dxa"/>
            <w:vMerge w:val="continue"/>
            <w:tcBorders>
              <w:top w:val="single" w:color="auto" w:sz="6"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6"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二等奖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1000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2177" w:type="dxa"/>
            <w:vMerge w:val="continue"/>
            <w:tcBorders>
              <w:top w:val="single" w:color="auto" w:sz="6"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6"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三等奖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600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1200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tblLayout w:type="fixed"/>
          <w:tblCellMar>
            <w:top w:w="0" w:type="dxa"/>
            <w:left w:w="108" w:type="dxa"/>
            <w:bottom w:w="0" w:type="dxa"/>
            <w:right w:w="108" w:type="dxa"/>
          </w:tblCellMar>
        </w:tblPrEx>
        <w:trPr>
          <w:cantSplit/>
          <w:jc w:val="center"/>
        </w:trPr>
        <w:tc>
          <w:tcPr>
            <w:tcW w:w="2177" w:type="dxa"/>
            <w:vMerge w:val="continue"/>
            <w:tcBorders>
              <w:top w:val="single" w:color="auto" w:sz="6"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2614" w:type="dxa"/>
            <w:vMerge w:val="continue"/>
            <w:tcBorders>
              <w:top w:val="single" w:color="auto" w:sz="6"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8"/>
                <w:szCs w:val="18"/>
              </w:rPr>
            </w:pPr>
          </w:p>
        </w:tc>
        <w:tc>
          <w:tcPr>
            <w:tcW w:w="16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优秀奖</w:t>
            </w:r>
          </w:p>
        </w:tc>
        <w:tc>
          <w:tcPr>
            <w:tcW w:w="144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300</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color w:val="333333"/>
                <w:kern w:val="0"/>
                <w:sz w:val="28"/>
                <w:szCs w:val="28"/>
                <w:bdr w:val="none" w:color="auto" w:sz="0" w:space="0"/>
                <w:lang w:val="en-US" w:eastAsia="zh-CN" w:bidi="ar"/>
              </w:rPr>
              <w:t>600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Style w:val="5"/>
          <w:rFonts w:hint="eastAsia" w:ascii="宋体" w:hAnsi="宋体" w:eastAsia="宋体" w:cs="宋体"/>
          <w:color w:val="333333"/>
          <w:kern w:val="0"/>
          <w:sz w:val="28"/>
          <w:szCs w:val="28"/>
          <w:bdr w:val="none" w:color="auto" w:sz="0" w:space="0"/>
          <w:shd w:val="clear" w:fill="FFFFFF"/>
          <w:lang w:val="en-US" w:eastAsia="zh-CN" w:bidi="ar"/>
        </w:rPr>
        <w:t>注：</w:t>
      </w:r>
      <w:r>
        <w:rPr>
          <w:rFonts w:hint="eastAsia" w:ascii="宋体" w:hAnsi="宋体" w:eastAsia="宋体" w:cs="宋体"/>
          <w:color w:val="333333"/>
          <w:kern w:val="0"/>
          <w:sz w:val="28"/>
          <w:szCs w:val="28"/>
          <w:bdr w:val="none" w:color="auto" w:sz="0" w:space="0"/>
          <w:shd w:val="clear" w:fill="FFFFFF"/>
          <w:lang w:val="en-US" w:eastAsia="zh-CN" w:bidi="ar"/>
        </w:rPr>
        <w:t>1.参加未在表中列明的省级及以上竞赛，可向竞赛委员会申报，委员会审核后酌情给予奖励，原则上非外语类的各类比赛，奖金按50%计算。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0" w:firstLineChars="200"/>
        <w:jc w:val="left"/>
      </w:pPr>
      <w:r>
        <w:rPr>
          <w:rFonts w:hint="eastAsia" w:ascii="宋体" w:hAnsi="宋体" w:eastAsia="宋体" w:cs="宋体"/>
          <w:color w:val="333333"/>
          <w:kern w:val="0"/>
          <w:sz w:val="28"/>
          <w:szCs w:val="28"/>
          <w:bdr w:val="none" w:color="auto" w:sz="0" w:space="0"/>
          <w:shd w:val="clear" w:fill="FFFFFF"/>
          <w:lang w:val="en-US" w:eastAsia="zh-CN" w:bidi="ar"/>
        </w:rPr>
        <w:t>2.如比赛在省级以上设赛区（如华东赛区），各级别奖金按省级级别上浮500元；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562" w:firstLineChars="200"/>
        <w:jc w:val="left"/>
      </w:pPr>
      <w:r>
        <w:rPr>
          <w:rStyle w:val="5"/>
          <w:rFonts w:hint="eastAsia" w:ascii="宋体" w:hAnsi="宋体" w:eastAsia="宋体" w:cs="宋体"/>
          <w:color w:val="333333"/>
          <w:kern w:val="0"/>
          <w:sz w:val="28"/>
          <w:szCs w:val="28"/>
          <w:bdr w:val="none" w:color="auto" w:sz="0" w:space="0"/>
          <w:shd w:val="clear" w:fill="FFFFFF"/>
          <w:lang w:val="en-US" w:eastAsia="zh-CN" w:bidi="ar"/>
        </w:rPr>
        <w:t>（二） 奖励标准在具体实施过程中，执行以下规定：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420"/>
        <w:jc w:val="left"/>
      </w:pPr>
      <w:r>
        <w:rPr>
          <w:rFonts w:hint="eastAsia" w:ascii="宋体" w:hAnsi="宋体" w:eastAsia="宋体" w:cs="宋体"/>
          <w:color w:val="333333"/>
          <w:kern w:val="0"/>
          <w:sz w:val="28"/>
          <w:szCs w:val="28"/>
          <w:bdr w:val="none" w:color="auto" w:sz="0" w:space="0"/>
          <w:shd w:val="clear" w:fill="FFFFFF"/>
          <w:lang w:val="en-US" w:eastAsia="zh-CN" w:bidi="ar"/>
        </w:rPr>
        <w:t>（1）获奖的时间及奖励等次的认定以主办单位的发文或学生获奖证书为准。获奖等级如设置为特等奖、一等奖、二等奖、三等奖的，按获特等奖对应上表中一等奖标准进行奖励，获一等奖对应上表中二等奖，依次类推进行奖励。如设置为第一至八名的，按获第一名对应上表中一等奖标准进行奖励，获第二、三名对应二等奖，获第四、五、六名对应三等奖，获第七、八名对应优秀奖进行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420"/>
        <w:jc w:val="left"/>
      </w:pPr>
      <w:r>
        <w:rPr>
          <w:rFonts w:hint="eastAsia" w:ascii="宋体" w:hAnsi="宋体" w:eastAsia="宋体" w:cs="宋体"/>
          <w:color w:val="333333"/>
          <w:kern w:val="0"/>
          <w:sz w:val="28"/>
          <w:szCs w:val="28"/>
          <w:bdr w:val="none" w:color="auto" w:sz="0" w:space="0"/>
          <w:shd w:val="clear" w:fill="FFFFFF"/>
          <w:lang w:val="en-US" w:eastAsia="zh-CN" w:bidi="ar"/>
        </w:rPr>
        <w:t>（2）同一作品或同一参赛队（个人）在一年内多次获奖的（包括学生分别获得个人和集体奖项的），指导教师奖金按最高奖计，即按学生所获最高奖项的一项给予奖励；另在同一届赛事中，同一教师（组）指导的多个参赛队（个人）获奖时，按其所指导参赛队（个人）获得的前3项最好名次给予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420"/>
        <w:jc w:val="left"/>
      </w:pPr>
      <w:r>
        <w:rPr>
          <w:rFonts w:hint="eastAsia" w:ascii="宋体" w:hAnsi="宋体" w:eastAsia="宋体" w:cs="宋体"/>
          <w:color w:val="333333"/>
          <w:kern w:val="0"/>
          <w:sz w:val="28"/>
          <w:szCs w:val="28"/>
          <w:bdr w:val="none" w:color="auto" w:sz="0" w:space="0"/>
          <w:shd w:val="clear" w:fill="FFFFFF"/>
          <w:lang w:val="en-US" w:eastAsia="zh-CN" w:bidi="ar"/>
        </w:rPr>
        <w:t>（3）以第一负责人参加挑战杯等团队比赛的按100%发放奖金，以第二负责人参加的按80%发放奖金；排名第三及以后的按人数平均发放奖金。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left"/>
      </w:pPr>
      <w:r>
        <w:rPr>
          <w:rFonts w:hint="eastAsia" w:ascii="宋体" w:hAnsi="宋体" w:eastAsia="宋体" w:cs="宋体"/>
          <w:color w:val="333333"/>
          <w:kern w:val="0"/>
          <w:sz w:val="28"/>
          <w:szCs w:val="28"/>
          <w:bdr w:val="none" w:color="auto" w:sz="0" w:space="0"/>
          <w:shd w:val="clear" w:fill="FFFFFF"/>
          <w:lang w:val="en-US" w:eastAsia="zh-CN" w:bidi="ar"/>
        </w:rPr>
        <w:t> </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1320"/>
        </w:tabs>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第五条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  同一年内，获得该奖励的师生原则上不再享受院内同类奖励。</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1320"/>
        </w:tabs>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第六条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  在评选过程中有弄虚作假行为的，一经发现除追回所发奖金外，视情节轻重给予相应的纪律处分。</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1320"/>
        </w:tabs>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第七条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  本条例自2016年1月1日开始实施。</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1320"/>
        </w:tabs>
        <w:spacing w:before="0" w:beforeAutospacing="0" w:after="0" w:afterAutospacing="0" w:line="480" w:lineRule="exact"/>
        <w:ind w:left="0" w:right="0" w:firstLine="472" w:firstLineChars="168"/>
        <w:jc w:val="left"/>
      </w:pPr>
      <w:r>
        <w:rPr>
          <w:rStyle w:val="5"/>
          <w:rFonts w:hint="eastAsia" w:ascii="宋体" w:hAnsi="宋体" w:eastAsia="宋体" w:cs="宋体"/>
          <w:color w:val="333333"/>
          <w:kern w:val="0"/>
          <w:sz w:val="28"/>
          <w:szCs w:val="28"/>
          <w:bdr w:val="none" w:color="auto" w:sz="0" w:space="0"/>
          <w:shd w:val="clear" w:fill="FFFFFF"/>
          <w:lang w:val="en-US" w:eastAsia="zh-CN" w:bidi="ar"/>
        </w:rPr>
        <w:t>第八条</w:t>
      </w:r>
      <w:r>
        <w:rPr>
          <w:rStyle w:val="5"/>
          <w:rFonts w:hint="default" w:ascii="Times New Roman" w:hAnsi="Times New Roman" w:eastAsia="宋体" w:cs="Times New Roman"/>
          <w:b w:val="0"/>
          <w:color w:val="333333"/>
          <w:kern w:val="0"/>
          <w:sz w:val="14"/>
          <w:szCs w:val="14"/>
          <w:bdr w:val="none" w:color="auto" w:sz="0" w:space="0"/>
          <w:shd w:val="clear" w:fill="FFFFFF"/>
          <w:lang w:val="en-US" w:eastAsia="zh-CN" w:bidi="ar"/>
        </w:rPr>
        <w:t xml:space="preserve">    </w:t>
      </w:r>
      <w:r>
        <w:rPr>
          <w:rFonts w:hint="eastAsia" w:ascii="宋体" w:hAnsi="宋体" w:eastAsia="宋体" w:cs="宋体"/>
          <w:color w:val="333333"/>
          <w:kern w:val="0"/>
          <w:sz w:val="28"/>
          <w:szCs w:val="28"/>
          <w:bdr w:val="none" w:color="auto" w:sz="0" w:space="0"/>
          <w:shd w:val="clear" w:fill="FFFFFF"/>
          <w:lang w:val="en-US" w:eastAsia="zh-CN" w:bidi="ar"/>
        </w:rPr>
        <w:t>  本条例解释权归外国语学院学生工作领导小组。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360" w:firstLine="420"/>
        <w:jc w:val="right"/>
        <w:rPr>
          <w:rFonts w:hint="eastAsia" w:ascii="宋体" w:hAnsi="宋体" w:eastAsia="宋体" w:cs="宋体"/>
          <w:color w:val="333333"/>
          <w:kern w:val="0"/>
          <w:sz w:val="28"/>
          <w:szCs w:val="28"/>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360" w:firstLine="420"/>
        <w:jc w:val="right"/>
        <w:rPr>
          <w:rFonts w:hint="eastAsia" w:ascii="宋体" w:hAnsi="宋体" w:eastAsia="宋体" w:cs="宋体"/>
          <w:color w:val="333333"/>
          <w:kern w:val="0"/>
          <w:sz w:val="28"/>
          <w:szCs w:val="28"/>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360" w:firstLine="420"/>
        <w:jc w:val="right"/>
        <w:rPr>
          <w:rFonts w:hint="eastAsia" w:ascii="宋体" w:hAnsi="宋体" w:eastAsia="宋体" w:cs="宋体"/>
          <w:color w:val="333333"/>
          <w:kern w:val="0"/>
          <w:sz w:val="28"/>
          <w:szCs w:val="28"/>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360" w:firstLine="420"/>
        <w:jc w:val="right"/>
      </w:pPr>
      <w:r>
        <w:rPr>
          <w:rFonts w:hint="eastAsia" w:ascii="宋体" w:hAnsi="宋体" w:eastAsia="宋体" w:cs="宋体"/>
          <w:color w:val="333333"/>
          <w:kern w:val="0"/>
          <w:sz w:val="28"/>
          <w:szCs w:val="28"/>
          <w:bdr w:val="none" w:color="auto" w:sz="0" w:space="0"/>
          <w:shd w:val="clear" w:fill="FFFFFF"/>
          <w:lang w:val="en-US" w:eastAsia="zh-CN" w:bidi="ar"/>
        </w:rPr>
        <w:t>外国语学院</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firstLine="420"/>
        <w:jc w:val="right"/>
      </w:pPr>
      <w:r>
        <w:rPr>
          <w:rFonts w:hint="eastAsia" w:ascii="宋体" w:hAnsi="宋体" w:eastAsia="宋体" w:cs="宋体"/>
          <w:color w:val="333333"/>
          <w:kern w:val="0"/>
          <w:sz w:val="28"/>
          <w:szCs w:val="28"/>
          <w:bdr w:val="none" w:color="auto" w:sz="0" w:space="0"/>
          <w:shd w:val="clear" w:fill="FFFFFF"/>
          <w:lang w:val="en-US" w:eastAsia="zh-CN" w:bidi="ar"/>
        </w:rPr>
        <w:t>2017年2月21日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wqcm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665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kern w:val="44"/>
      <w:sz w:val="30"/>
      <w:szCs w:val="30"/>
      <w:lang w:val="en-US" w:eastAsia="zh-CN" w:bidi="ar"/>
    </w:rPr>
  </w:style>
  <w:style w:type="character" w:default="1" w:styleId="4">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Typewriter"/>
    <w:basedOn w:val="4"/>
    <w:uiPriority w:val="0"/>
    <w:rPr>
      <w:color w:val="FFFFFF"/>
      <w:sz w:val="24"/>
      <w:szCs w:val="24"/>
      <w:bdr w:val="none" w:color="auto" w:sz="0" w:space="0"/>
    </w:rPr>
  </w:style>
  <w:style w:type="character" w:styleId="9">
    <w:name w:val="Hyperlink"/>
    <w:basedOn w:val="4"/>
    <w:uiPriority w:val="0"/>
    <w:rPr>
      <w:color w:val="333333"/>
      <w:u w:val="none"/>
    </w:rPr>
  </w:style>
  <w:style w:type="character" w:customStyle="1" w:styleId="11">
    <w:name w:val="del"/>
    <w:basedOn w:val="4"/>
    <w:uiPriority w:val="0"/>
    <w:rPr>
      <w:color w:val="999999"/>
    </w:rPr>
  </w:style>
  <w:style w:type="character" w:customStyle="1" w:styleId="12">
    <w:name w:val="hover14"/>
    <w:basedOn w:val="4"/>
    <w:uiPriority w:val="0"/>
    <w:rPr>
      <w:color w:val="3796E1"/>
    </w:rPr>
  </w:style>
  <w:style w:type="character" w:customStyle="1" w:styleId="13">
    <w:name w:val="hover13"/>
    <w:basedOn w:val="4"/>
    <w:uiPriority w:val="0"/>
    <w:rPr>
      <w:color w:val="3796E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麦恬</cp:lastModifiedBy>
  <dcterms:modified xsi:type="dcterms:W3CDTF">2017-12-19T01:40:40Z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